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6DBC" w14:textId="7E9FC4AA" w:rsidR="00D82345" w:rsidRPr="00CD2D87" w:rsidRDefault="00D82345" w:rsidP="00017FFD">
      <w:pPr>
        <w:shd w:val="clear" w:color="auto" w:fill="FFFFFF"/>
        <w:spacing w:after="120"/>
        <w:ind w:right="567"/>
        <w:jc w:val="center"/>
        <w:textAlignment w:val="baseline"/>
        <w:rPr>
          <w:rFonts w:eastAsia="Times New Roman" w:cs="Times New Roman"/>
          <w:b/>
          <w:bCs/>
          <w:sz w:val="22"/>
          <w:lang w:eastAsia="lv-LV"/>
        </w:rPr>
      </w:pPr>
      <w:r w:rsidRPr="00CD2D87">
        <w:rPr>
          <w:rFonts w:eastAsia="Times New Roman" w:cs="Times New Roman"/>
          <w:b/>
          <w:bCs/>
          <w:sz w:val="22"/>
          <w:lang w:eastAsia="lv-LV"/>
        </w:rPr>
        <w:t>Paziņojums par noteikto tarifu</w:t>
      </w: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1274"/>
        <w:gridCol w:w="1418"/>
        <w:gridCol w:w="1134"/>
        <w:gridCol w:w="1275"/>
        <w:gridCol w:w="1134"/>
        <w:gridCol w:w="1418"/>
        <w:gridCol w:w="1134"/>
      </w:tblGrid>
      <w:tr w:rsidR="00D82345" w:rsidRPr="00CD2D87" w14:paraId="2DAD2371" w14:textId="77777777" w:rsidTr="00532E17">
        <w:tc>
          <w:tcPr>
            <w:tcW w:w="10349" w:type="dxa"/>
            <w:gridSpan w:val="8"/>
            <w:shd w:val="clear" w:color="auto" w:fill="auto"/>
            <w:vAlign w:val="center"/>
            <w:hideMark/>
          </w:tcPr>
          <w:p w14:paraId="6ADFFB00" w14:textId="78CFE2F6" w:rsidR="00D82345" w:rsidRPr="00CD2D87" w:rsidRDefault="00D82345" w:rsidP="009538C3">
            <w:pPr>
              <w:spacing w:after="120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S</w:t>
            </w:r>
            <w:r>
              <w:rPr>
                <w:rFonts w:eastAsia="Times New Roman" w:cs="Times New Roman"/>
                <w:sz w:val="22"/>
                <w:lang w:eastAsia="lv-LV"/>
              </w:rPr>
              <w:t>abiedrība ar ierobežotu atbildību</w:t>
            </w:r>
            <w:r w:rsidRPr="00CD2D87">
              <w:rPr>
                <w:rFonts w:eastAsia="Times New Roman" w:cs="Times New Roman"/>
                <w:sz w:val="22"/>
                <w:lang w:eastAsia="lv-LV"/>
              </w:rPr>
              <w:t xml:space="preserve"> “Krāslavas nami”, reģ.Nr.45903001693, </w:t>
            </w:r>
            <w:r>
              <w:rPr>
                <w:rFonts w:eastAsia="Times New Roman" w:cs="Times New Roman"/>
                <w:sz w:val="22"/>
                <w:lang w:eastAsia="lv-LV"/>
              </w:rPr>
              <w:t xml:space="preserve">juridiskā adrese </w:t>
            </w:r>
            <w:r w:rsidRPr="00CD2D87">
              <w:rPr>
                <w:rFonts w:eastAsia="Times New Roman" w:cs="Times New Roman"/>
                <w:sz w:val="22"/>
                <w:lang w:eastAsia="lv-LV"/>
              </w:rPr>
              <w:t>Brīvības iela 5, Krāslava, Krāslavas nov</w:t>
            </w:r>
            <w:r w:rsidR="00B10BF4">
              <w:rPr>
                <w:rFonts w:eastAsia="Times New Roman" w:cs="Times New Roman"/>
                <w:sz w:val="22"/>
                <w:lang w:eastAsia="lv-LV"/>
              </w:rPr>
              <w:t>ads</w:t>
            </w:r>
            <w:r w:rsidRPr="00CD2D87">
              <w:rPr>
                <w:rFonts w:eastAsia="Times New Roman" w:cs="Times New Roman"/>
                <w:sz w:val="22"/>
                <w:lang w:eastAsia="lv-LV"/>
              </w:rPr>
              <w:t>, Sabiedrisko pakalpojumu regulēšanas komisijai iesniedz</w:t>
            </w:r>
            <w:r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 </w:t>
            </w:r>
            <w:r w:rsidRPr="00CD2D87">
              <w:rPr>
                <w:rFonts w:eastAsia="Times New Roman" w:cs="Times New Roman"/>
                <w:b/>
                <w:bCs/>
                <w:sz w:val="22"/>
                <w:lang w:eastAsia="lv-LV"/>
              </w:rPr>
              <w:t>siltumenerģijas apgādes pakalpojuma sabiedrisko pakalpojumu sniedzēja noteiktos tarifus Krāslavas pilsētā</w:t>
            </w:r>
            <w:r w:rsidRPr="00CD2D87">
              <w:rPr>
                <w:rFonts w:eastAsia="Times New Roman" w:cs="Times New Roman"/>
                <w:sz w:val="22"/>
                <w:lang w:eastAsia="lv-LV"/>
              </w:rPr>
              <w:t>, kas ir aprēķināti saskaņā ar  Sabiedrisko pakalpojumu regulēšanas komisijas padomes 2010.gada 14.aprīļa lēmumu Nr. 1/7 “Siltumenerģijas apgādes pakalpojumu tarifu aprēķināšanas metodika”, un pamatojumu noteiktajiem tarifiem. </w:t>
            </w:r>
          </w:p>
        </w:tc>
      </w:tr>
      <w:tr w:rsidR="00B10BF4" w:rsidRPr="00CD2D87" w14:paraId="66250905" w14:textId="77777777" w:rsidTr="00532E17">
        <w:tc>
          <w:tcPr>
            <w:tcW w:w="1562" w:type="dxa"/>
            <w:shd w:val="clear" w:color="auto" w:fill="auto"/>
            <w:hideMark/>
          </w:tcPr>
          <w:p w14:paraId="66356404" w14:textId="63B9C5E7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Sabiedriskā pakalpojuma veids</w:t>
            </w:r>
          </w:p>
        </w:tc>
        <w:tc>
          <w:tcPr>
            <w:tcW w:w="1274" w:type="dxa"/>
            <w:shd w:val="clear" w:color="auto" w:fill="auto"/>
            <w:hideMark/>
          </w:tcPr>
          <w:p w14:paraId="294ACF9C" w14:textId="77777777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SPRK apstiprinātais tarifs</w:t>
            </w:r>
          </w:p>
          <w:p w14:paraId="0ECEB249" w14:textId="77777777" w:rsidR="001A2D9C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 xml:space="preserve">no </w:t>
            </w:r>
          </w:p>
          <w:p w14:paraId="2C14C8E4" w14:textId="7206ED68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01.09.2023.</w:t>
            </w:r>
          </w:p>
          <w:p w14:paraId="2FA57FED" w14:textId="3A689B98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>līdz</w:t>
            </w:r>
          </w:p>
          <w:p w14:paraId="360B6B90" w14:textId="7B297E3C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30.09.2024</w:t>
            </w:r>
          </w:p>
          <w:p w14:paraId="6F2A4F9F" w14:textId="68EA16B1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(bez PVN)</w:t>
            </w:r>
          </w:p>
        </w:tc>
        <w:tc>
          <w:tcPr>
            <w:tcW w:w="1418" w:type="dxa"/>
            <w:shd w:val="clear" w:color="auto" w:fill="auto"/>
            <w:hideMark/>
          </w:tcPr>
          <w:p w14:paraId="453D7E92" w14:textId="77777777" w:rsidR="00D82345" w:rsidRPr="00863F14" w:rsidRDefault="00D82345" w:rsidP="00D82345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Noteiktais (piedāvātais) tarifs</w:t>
            </w:r>
          </w:p>
          <w:p w14:paraId="518ED0CB" w14:textId="77777777" w:rsidR="00D82345" w:rsidRPr="00863F14" w:rsidRDefault="00D82345" w:rsidP="00D82345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no </w:t>
            </w:r>
          </w:p>
          <w:p w14:paraId="632D91F6" w14:textId="484671F6" w:rsidR="00D82345" w:rsidRPr="00863F14" w:rsidRDefault="00D82345" w:rsidP="00D82345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01.10.2024. līdz 31.08.2025.</w:t>
            </w:r>
          </w:p>
          <w:p w14:paraId="66456BEC" w14:textId="77777777" w:rsidR="00D82345" w:rsidRPr="00863F14" w:rsidRDefault="00D82345" w:rsidP="00D82345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(bez PVN)</w:t>
            </w:r>
          </w:p>
        </w:tc>
        <w:tc>
          <w:tcPr>
            <w:tcW w:w="1134" w:type="dxa"/>
            <w:shd w:val="clear" w:color="auto" w:fill="auto"/>
            <w:hideMark/>
          </w:tcPr>
          <w:p w14:paraId="481DC0EF" w14:textId="77777777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Noteiktā tarifa </w:t>
            </w:r>
          </w:p>
          <w:p w14:paraId="59444C96" w14:textId="0640878D" w:rsidR="00D82345" w:rsidRP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D82345"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  <w:t>palielinājums/ samazinājums</w:t>
            </w:r>
            <w:r w:rsidRPr="00D82345">
              <w:rPr>
                <w:rFonts w:eastAsia="Times New Roman" w:cs="Times New Roman"/>
                <w:sz w:val="18"/>
                <w:szCs w:val="18"/>
                <w:lang w:eastAsia="lv-LV"/>
              </w:rPr>
              <w:t> </w:t>
            </w:r>
          </w:p>
          <w:p w14:paraId="104A299C" w14:textId="28C2EE7F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(%)</w:t>
            </w:r>
          </w:p>
        </w:tc>
        <w:tc>
          <w:tcPr>
            <w:tcW w:w="1275" w:type="dxa"/>
          </w:tcPr>
          <w:p w14:paraId="082AF63B" w14:textId="77777777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Noteiktais (piedāvātais) tarifs</w:t>
            </w:r>
          </w:p>
          <w:p w14:paraId="7B6D0FCA" w14:textId="77777777" w:rsidR="001A2D9C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 xml:space="preserve">no </w:t>
            </w:r>
          </w:p>
          <w:p w14:paraId="781AF802" w14:textId="2A9A459B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01.09.2025.</w:t>
            </w:r>
          </w:p>
          <w:p w14:paraId="39509C14" w14:textId="77777777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>
              <w:rPr>
                <w:rFonts w:eastAsia="Times New Roman" w:cs="Times New Roman"/>
                <w:sz w:val="22"/>
                <w:lang w:eastAsia="lv-LV"/>
              </w:rPr>
              <w:t>līdz</w:t>
            </w:r>
          </w:p>
          <w:p w14:paraId="7334DD84" w14:textId="18A97DED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30.09.2025.</w:t>
            </w:r>
          </w:p>
          <w:p w14:paraId="4E2317F9" w14:textId="77777777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(bez PVN)</w:t>
            </w:r>
          </w:p>
        </w:tc>
        <w:tc>
          <w:tcPr>
            <w:tcW w:w="1134" w:type="dxa"/>
          </w:tcPr>
          <w:p w14:paraId="3EFCA4AA" w14:textId="77777777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Noteiktā tarifa </w:t>
            </w:r>
          </w:p>
          <w:p w14:paraId="438AA855" w14:textId="25CC155C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82345"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  <w:t>palielinājums/ samazinājums</w:t>
            </w:r>
          </w:p>
          <w:p w14:paraId="335B9196" w14:textId="39689E6B" w:rsidR="00D82345" w:rsidRP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D82345">
              <w:rPr>
                <w:rFonts w:eastAsia="Times New Roman" w:cs="Times New Roman"/>
                <w:sz w:val="22"/>
                <w:lang w:eastAsia="lv-LV"/>
              </w:rPr>
              <w:t> </w:t>
            </w:r>
            <w:r w:rsidRPr="00863F14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(%)</w:t>
            </w:r>
          </w:p>
        </w:tc>
        <w:tc>
          <w:tcPr>
            <w:tcW w:w="1418" w:type="dxa"/>
          </w:tcPr>
          <w:p w14:paraId="5AECF112" w14:textId="77777777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Noteiktais (piedāvātais) tarifs</w:t>
            </w:r>
          </w:p>
          <w:p w14:paraId="4EE9279D" w14:textId="77777777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no 01.10.2025.</w:t>
            </w:r>
          </w:p>
          <w:p w14:paraId="61A19756" w14:textId="77777777" w:rsidR="00D82345" w:rsidRPr="00CD2D87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(bez PVN)</w:t>
            </w:r>
          </w:p>
        </w:tc>
        <w:tc>
          <w:tcPr>
            <w:tcW w:w="1134" w:type="dxa"/>
          </w:tcPr>
          <w:p w14:paraId="7ED9F0EA" w14:textId="77777777" w:rsidR="00D82345" w:rsidRDefault="00D82345" w:rsidP="00D82345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Noteiktā tarifa </w:t>
            </w:r>
          </w:p>
          <w:p w14:paraId="6DE9EAA7" w14:textId="77777777" w:rsidR="00863F14" w:rsidRPr="00863F14" w:rsidRDefault="00863F14" w:rsidP="00863F14">
            <w:pPr>
              <w:jc w:val="center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863F14"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  <w:t>palielinājums/ samazinājums</w:t>
            </w:r>
          </w:p>
          <w:p w14:paraId="0F37AE43" w14:textId="41DBE98D" w:rsidR="00D82345" w:rsidRPr="00CD2D87" w:rsidRDefault="00863F14" w:rsidP="00863F14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  <w:t> </w:t>
            </w:r>
            <w:r w:rsidRPr="00863F14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(%)</w:t>
            </w:r>
          </w:p>
        </w:tc>
      </w:tr>
      <w:tr w:rsidR="00B10BF4" w:rsidRPr="00CD2D87" w14:paraId="02A66438" w14:textId="77777777" w:rsidTr="00532E17"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D7E600" w14:textId="77777777" w:rsidR="00D82345" w:rsidRPr="00CD2D87" w:rsidRDefault="00D82345" w:rsidP="00B05949">
            <w:pPr>
              <w:jc w:val="left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Siltumenerģijas ražošanas tarifs, EUR/</w:t>
            </w:r>
            <w:proofErr w:type="spellStart"/>
            <w:r w:rsidRPr="00CD2D87">
              <w:rPr>
                <w:rFonts w:eastAsia="Times New Roman" w:cs="Times New Roman"/>
                <w:sz w:val="22"/>
                <w:lang w:eastAsia="lv-LV"/>
              </w:rPr>
              <w:t>MWh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9F5808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  52,28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00F011" w14:textId="77777777" w:rsidR="00D82345" w:rsidRPr="00863F14" w:rsidRDefault="00D82345" w:rsidP="00B0594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47,88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0688C1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-8,4%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B92004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47,88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0E135D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-8,4%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09D5C9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47,88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5B7BBA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-8,4%</w:t>
            </w:r>
          </w:p>
        </w:tc>
      </w:tr>
      <w:tr w:rsidR="00B10BF4" w:rsidRPr="00CD2D87" w14:paraId="356E5CE4" w14:textId="77777777" w:rsidTr="00532E17"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445F5D0F" w14:textId="77777777" w:rsidR="00D82345" w:rsidRPr="00CD2D87" w:rsidRDefault="00D82345" w:rsidP="00B05949">
            <w:pPr>
              <w:jc w:val="left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Siltumenerģijas pārvades un sadales tarifs, EUR/</w:t>
            </w:r>
            <w:proofErr w:type="spellStart"/>
            <w:r w:rsidRPr="00CD2D87">
              <w:rPr>
                <w:rFonts w:eastAsia="Times New Roman" w:cs="Times New Roman"/>
                <w:sz w:val="22"/>
                <w:lang w:eastAsia="lv-LV"/>
              </w:rPr>
              <w:t>MWh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1981E271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17,34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6D8D94D" w14:textId="77777777" w:rsidR="00D82345" w:rsidRPr="00863F14" w:rsidRDefault="00D82345" w:rsidP="00B0594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16,61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15270D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-4,2%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8813E3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16,61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6FB01A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-4,2%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C3979B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16,61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BFE10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-4,2%</w:t>
            </w:r>
          </w:p>
        </w:tc>
      </w:tr>
      <w:tr w:rsidR="00B10BF4" w:rsidRPr="00CD2D87" w14:paraId="5F979BFD" w14:textId="77777777" w:rsidTr="00532E17"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65EE6FB2" w14:textId="77777777" w:rsidR="00D82345" w:rsidRPr="00CD2D87" w:rsidRDefault="00D82345" w:rsidP="00B05949">
            <w:pPr>
              <w:jc w:val="left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Siltumenerģijas tirdzniecības tarifs, EUR/</w:t>
            </w:r>
            <w:proofErr w:type="spellStart"/>
            <w:r w:rsidRPr="00CD2D87">
              <w:rPr>
                <w:rFonts w:eastAsia="Times New Roman" w:cs="Times New Roman"/>
                <w:sz w:val="22"/>
                <w:lang w:eastAsia="lv-LV"/>
              </w:rPr>
              <w:t>MWh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073FDA7B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1,12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AD59DB" w14:textId="77777777" w:rsidR="00D82345" w:rsidRPr="00863F14" w:rsidRDefault="00D82345" w:rsidP="00B0594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1,12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5CF0BE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8C55C1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1,12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C2B7D0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127337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1,12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DAD7DA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0%</w:t>
            </w:r>
          </w:p>
        </w:tc>
      </w:tr>
      <w:tr w:rsidR="00B10BF4" w:rsidRPr="00CD2D87" w14:paraId="2839194A" w14:textId="77777777" w:rsidTr="00532E17"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564811ED" w14:textId="77777777" w:rsidR="00D82345" w:rsidRPr="00CD2D87" w:rsidRDefault="00D82345" w:rsidP="00B05949">
            <w:pPr>
              <w:jc w:val="left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Neparedzēto izmaksu(+)/ ieņēmumu(-) komponente, EUR/</w:t>
            </w:r>
            <w:proofErr w:type="spellStart"/>
            <w:r w:rsidRPr="00CD2D87">
              <w:rPr>
                <w:rFonts w:eastAsia="Times New Roman" w:cs="Times New Roman"/>
                <w:sz w:val="22"/>
                <w:lang w:eastAsia="lv-LV"/>
              </w:rPr>
              <w:t>MWh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25E482D9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14,95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A7C78D4" w14:textId="77777777" w:rsidR="00D82345" w:rsidRPr="00863F14" w:rsidRDefault="00D82345" w:rsidP="00B0594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15,68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34271F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4,9%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CD9C63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0,73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F570CA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-95,1%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F49B60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F968E0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0</w:t>
            </w:r>
          </w:p>
        </w:tc>
      </w:tr>
      <w:tr w:rsidR="00B10BF4" w:rsidRPr="00CD2D87" w14:paraId="2CFFA20A" w14:textId="77777777" w:rsidTr="00532E17"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8C0366" w14:textId="77777777" w:rsidR="00D82345" w:rsidRPr="00CD2D87" w:rsidRDefault="00D82345" w:rsidP="00B05949">
            <w:pPr>
              <w:jc w:val="left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Siltumenerģijas gala tarifs, EUR/</w:t>
            </w:r>
            <w:proofErr w:type="spellStart"/>
            <w:r w:rsidRPr="00CD2D87">
              <w:rPr>
                <w:rFonts w:eastAsia="Times New Roman" w:cs="Times New Roman"/>
                <w:sz w:val="22"/>
                <w:lang w:eastAsia="lv-LV"/>
              </w:rPr>
              <w:t>MWh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36B3FE3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 85,69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7ECD85" w14:textId="77777777" w:rsidR="00D82345" w:rsidRPr="00863F14" w:rsidRDefault="00D82345" w:rsidP="00B0594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 81,29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F9F29EE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-5,1%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18554C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66,34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D032D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-22,6%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BFA286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65,61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CACBF8" w14:textId="77777777" w:rsidR="00D82345" w:rsidRPr="00CD2D87" w:rsidRDefault="00D82345" w:rsidP="00B05949">
            <w:pPr>
              <w:jc w:val="center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sz w:val="22"/>
                <w:lang w:eastAsia="lv-LV"/>
              </w:rPr>
              <w:t>-23,4%</w:t>
            </w:r>
          </w:p>
        </w:tc>
      </w:tr>
      <w:tr w:rsidR="00D82345" w:rsidRPr="00CD2D87" w14:paraId="06CCA98A" w14:textId="77777777" w:rsidTr="00532E17"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D0F252E" w14:textId="77777777" w:rsidR="00D82345" w:rsidRPr="00CD2D87" w:rsidRDefault="00D82345" w:rsidP="000C0007">
            <w:pPr>
              <w:spacing w:before="120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Noteiktie tarifi stāsies spēkā </w:t>
            </w:r>
            <w:r w:rsidRPr="00CD2D87">
              <w:rPr>
                <w:rFonts w:eastAsia="Times New Roman" w:cs="Times New Roman"/>
                <w:sz w:val="22"/>
                <w:lang w:eastAsia="lv-LV"/>
              </w:rPr>
              <w:t> ar 2024. gada 1.oktobri. </w:t>
            </w:r>
          </w:p>
          <w:p w14:paraId="5912401C" w14:textId="77777777" w:rsidR="00D82345" w:rsidRPr="00CD2D87" w:rsidRDefault="00D82345" w:rsidP="00863F14">
            <w:pPr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bookmarkStart w:id="0" w:name="_Hlk117854909"/>
            <w:r w:rsidRPr="00CD2D87">
              <w:rPr>
                <w:rFonts w:eastAsia="Times New Roman" w:cs="Times New Roman"/>
                <w:sz w:val="22"/>
                <w:lang w:eastAsia="lv-LV"/>
              </w:rPr>
              <w:t>Noteiktie tarifi stāsies spēkā, ja Sabiedrisko pakalpojumu regulēšanas komisija</w:t>
            </w:r>
            <w:r w:rsidRPr="00CD2D87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  <w:r w:rsidRPr="00CD2D87">
              <w:rPr>
                <w:rFonts w:eastAsia="Times New Roman" w:cs="Times New Roman"/>
                <w:sz w:val="22"/>
                <w:lang w:eastAsia="lv-LV"/>
              </w:rPr>
              <w:t xml:space="preserve"> nebūs pieņēmusi un</w:t>
            </w:r>
            <w:r w:rsidRPr="00CD2D87">
              <w:rPr>
                <w:rFonts w:eastAsia="Times New Roman" w:cs="Times New Roman"/>
                <w:sz w:val="22"/>
                <w:shd w:val="clear" w:color="auto" w:fill="FFFFFF"/>
                <w:lang w:eastAsia="lv-LV"/>
              </w:rPr>
              <w:t xml:space="preserve"> publicējusi oficiālajā izdevumā "Latvijas Vēstnesis" </w:t>
            </w:r>
            <w:r w:rsidRPr="00CD2D87">
              <w:rPr>
                <w:rFonts w:eastAsia="Times New Roman" w:cs="Times New Roman"/>
                <w:sz w:val="22"/>
                <w:lang w:eastAsia="lv-LV"/>
              </w:rPr>
              <w:t>lēmumu par noteikto tarifu spēkā stāšanās atsaukšanu.</w:t>
            </w:r>
          </w:p>
          <w:p w14:paraId="2033656B" w14:textId="0F2D8B83" w:rsidR="00D82345" w:rsidRPr="00CD2D87" w:rsidRDefault="00D82345" w:rsidP="00392B32">
            <w:pPr>
              <w:spacing w:before="120"/>
              <w:textAlignment w:val="baseline"/>
              <w:rPr>
                <w:rFonts w:cs="Times New Roman"/>
                <w:sz w:val="22"/>
              </w:rPr>
            </w:pPr>
            <w:bookmarkStart w:id="1" w:name="_Hlk117769140"/>
            <w:bookmarkEnd w:id="0"/>
            <w:r w:rsidRPr="00CD2D87">
              <w:rPr>
                <w:rFonts w:cs="Times New Roman"/>
                <w:b/>
                <w:bCs/>
                <w:sz w:val="22"/>
              </w:rPr>
              <w:t>No noteikto tarifu spēkā stāšanās datuma nepiemēro</w:t>
            </w:r>
            <w:r w:rsidRPr="00CD2D87">
              <w:rPr>
                <w:rFonts w:cs="Times New Roman"/>
                <w:sz w:val="22"/>
              </w:rPr>
              <w:t xml:space="preserve"> </w:t>
            </w:r>
            <w:r w:rsidRPr="00CD2D87">
              <w:rPr>
                <w:rFonts w:cs="Times New Roman"/>
                <w:i/>
                <w:iCs/>
                <w:sz w:val="22"/>
              </w:rPr>
              <w:t>Sabiedrisko pakalpojumu regulēšanas komisijas ar 2023. gada 6. jūlija lēmumu Nr.74 “Par sabiedrības ar ierobežotu atbildību “Krāslavas nami” siltumenerģijas apgādes</w:t>
            </w:r>
            <w:r w:rsidR="00863F14">
              <w:rPr>
                <w:rFonts w:cs="Times New Roman"/>
                <w:i/>
                <w:iCs/>
                <w:sz w:val="22"/>
              </w:rPr>
              <w:t xml:space="preserve"> </w:t>
            </w:r>
            <w:r w:rsidRPr="00CD2D87">
              <w:rPr>
                <w:rFonts w:cs="Times New Roman"/>
                <w:i/>
                <w:iCs/>
                <w:sz w:val="22"/>
              </w:rPr>
              <w:t xml:space="preserve">pakalpojumu </w:t>
            </w:r>
            <w:r w:rsidR="00863F14" w:rsidRPr="00CD2D87">
              <w:rPr>
                <w:rFonts w:cs="Times New Roman"/>
                <w:i/>
                <w:iCs/>
                <w:sz w:val="22"/>
              </w:rPr>
              <w:t>tarifiem</w:t>
            </w:r>
            <w:r w:rsidRPr="00CD2D87">
              <w:rPr>
                <w:rFonts w:cs="Times New Roman"/>
                <w:i/>
                <w:iCs/>
                <w:sz w:val="22"/>
              </w:rPr>
              <w:t>” apstiprinātos tarifus</w:t>
            </w:r>
            <w:r w:rsidRPr="00CD2D87">
              <w:rPr>
                <w:rFonts w:cs="Times New Roman"/>
                <w:sz w:val="22"/>
              </w:rPr>
              <w:t>.</w:t>
            </w:r>
          </w:p>
          <w:bookmarkEnd w:id="1"/>
          <w:p w14:paraId="5248C85C" w14:textId="0AF711AA" w:rsidR="00D82345" w:rsidRPr="00863F14" w:rsidRDefault="00D82345" w:rsidP="00392B32">
            <w:pPr>
              <w:spacing w:before="120"/>
              <w:textAlignment w:val="baseline"/>
              <w:rPr>
                <w:rFonts w:eastAsia="Times New Roman" w:cs="Times New Roman"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Noteikto tarifu izmaiņas pret spēkā esošo tarifu ir saistītas </w:t>
            </w:r>
            <w:r w:rsidRPr="00863F14">
              <w:rPr>
                <w:rFonts w:eastAsia="Times New Roman" w:cs="Times New Roman"/>
                <w:b/>
                <w:bCs/>
                <w:sz w:val="22"/>
                <w:lang w:eastAsia="lv-LV"/>
              </w:rPr>
              <w:t>ar</w:t>
            </w:r>
            <w:r w:rsidRPr="00863F14">
              <w:rPr>
                <w:rFonts w:eastAsia="Times New Roman" w:cs="Times New Roman"/>
                <w:sz w:val="22"/>
                <w:lang w:eastAsia="lv-LV"/>
              </w:rPr>
              <w:t> 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kurināmā izmaksu </w:t>
            </w:r>
            <w:r w:rsidR="00863F14"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izmai</w:t>
            </w:r>
            <w:r w:rsidR="00EE094D">
              <w:rPr>
                <w:rFonts w:eastAsia="Times New Roman" w:cs="Times New Roman"/>
                <w:i/>
                <w:iCs/>
                <w:sz w:val="22"/>
                <w:lang w:eastAsia="lv-LV"/>
              </w:rPr>
              <w:t>ņ</w:t>
            </w:r>
            <w:r w:rsidR="00863F14"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ām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, kā arī ar neparedzētajām izmaksām un ieņēmumiem par kurināmo un elektroenerģiju par 2023. gadu – neparedzēto izmaksu un ieņēmumu komponente (Sabiedrisko pakalpojumu regulēšanas komisijas 2010. gada 14. aprīļa lēmuma Nr. 1/7 “Siltumenerģijas apgādes pakalpojumu tarifu aprēķināšanas metodika” 43.14 un 43.15 punkti)</w:t>
            </w:r>
            <w:r w:rsidRPr="00863F14">
              <w:rPr>
                <w:rFonts w:eastAsia="Times New Roman" w:cs="Times New Roman"/>
                <w:sz w:val="22"/>
                <w:lang w:eastAsia="lv-LV"/>
              </w:rPr>
              <w:t>. </w:t>
            </w:r>
          </w:p>
          <w:p w14:paraId="4D3B48DD" w14:textId="51C1B1BF" w:rsidR="00D82345" w:rsidRPr="00863F14" w:rsidRDefault="00D82345" w:rsidP="00392B32">
            <w:pPr>
              <w:spacing w:before="120"/>
              <w:textAlignment w:val="baseline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Iepazīties ar sabiedrisko pakalpojumu sniedzēja noteiktajiem tarifiem 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un noteikto tarifu pamatojumā ietverto vispārpieejamo informāciju, kā arī sniegt savus priekšlikumus un ieteikumus saistībā ar norādītajām tarifu izmaiņām par sabiedrisko pakalpojumu sniedzēja noteiktajiem siltumenerģijas apgādes pakalpojuma  tarifiem lietotājs</w:t>
            </w:r>
            <w:r w:rsidR="00892563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 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var SIA “Krāslavas nami” Brīvības ielā 5, Krāslavā, Krāslavas novadā, darba laikā, </w:t>
            </w:r>
            <w:r w:rsidRPr="00863F14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iepriekš sazinoties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 </w:t>
            </w:r>
            <w:r w:rsidRPr="00863F14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ar 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finanšu speciālisti </w:t>
            </w:r>
            <w:proofErr w:type="spellStart"/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I.Vītoliņu</w:t>
            </w:r>
            <w:proofErr w:type="spellEnd"/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, (tālr.nr.  65681566;  e-pasta adrese: </w:t>
            </w:r>
            <w:hyperlink r:id="rId5" w:history="1">
              <w:r w:rsidRPr="00863F14">
                <w:rPr>
                  <w:rStyle w:val="Hyperlink"/>
                  <w:rFonts w:eastAsia="Times New Roman" w:cs="Times New Roman"/>
                  <w:i/>
                  <w:iCs/>
                  <w:sz w:val="22"/>
                  <w:u w:val="none"/>
                  <w:lang w:eastAsia="lv-LV"/>
                </w:rPr>
                <w:t>info@kraslavasnami.lv</w:t>
              </w:r>
            </w:hyperlink>
            <w:r w:rsidRPr="00863F14">
              <w:rPr>
                <w:rStyle w:val="Hyperlink"/>
                <w:rFonts w:eastAsia="Times New Roman" w:cs="Times New Roman"/>
                <w:i/>
                <w:iCs/>
                <w:sz w:val="22"/>
                <w:u w:val="none"/>
                <w:lang w:eastAsia="lv-LV"/>
              </w:rPr>
              <w:t>)</w:t>
            </w:r>
          </w:p>
          <w:p w14:paraId="6DD1057E" w14:textId="75727B06" w:rsidR="00D82345" w:rsidRPr="00CD2D87" w:rsidRDefault="00D82345" w:rsidP="00E92B80">
            <w:pPr>
              <w:spacing w:before="120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CD2D87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Priekšlikumus un ieteikumus 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par sabiedrisko pakalpojumu sniedzēja noteiktajiem tarifiem rakstveidā vai elektroniski var iesniegt SIA “Krāslavas nami” Brīvības ielā 5, Krāslavā, Krāslavas nov., LV-5601 un/vai e-pasta adrese </w:t>
            </w:r>
            <w:hyperlink r:id="rId6" w:history="1">
              <w:r w:rsidRPr="00863F14">
                <w:rPr>
                  <w:rStyle w:val="Hyperlink"/>
                  <w:rFonts w:eastAsia="Times New Roman" w:cs="Times New Roman"/>
                  <w:i/>
                  <w:iCs/>
                  <w:sz w:val="22"/>
                  <w:u w:val="none"/>
                  <w:lang w:eastAsia="lv-LV"/>
                </w:rPr>
                <w:t>info@kraslavasnami.lv</w:t>
              </w:r>
            </w:hyperlink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, kā arī Sabiedrisko pakalpojumu regulēšanas komisijai Rīgā, Ūnijas ielā 45, elektroniskā pasta adrese: </w:t>
            </w:r>
            <w:hyperlink r:id="rId7" w:history="1">
              <w:r w:rsidR="00863F14" w:rsidRPr="00D66976">
                <w:rPr>
                  <w:rStyle w:val="Hyperlink"/>
                  <w:rFonts w:eastAsia="Times New Roman" w:cs="Times New Roman"/>
                  <w:i/>
                  <w:iCs/>
                  <w:sz w:val="22"/>
                  <w:lang w:eastAsia="lv-LV"/>
                </w:rPr>
                <w:t>sprk@sprk.gov.lv</w:t>
              </w:r>
            </w:hyperlink>
            <w:r w:rsid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 </w:t>
            </w:r>
            <w:r w:rsidRPr="00863F14">
              <w:rPr>
                <w:rFonts w:eastAsia="Times New Roman" w:cs="Times New Roman"/>
                <w:i/>
                <w:iCs/>
                <w:sz w:val="22"/>
                <w:lang w:eastAsia="lv-LV"/>
              </w:rPr>
              <w:t>septiņu dienu laikā no šā paziņojuma publicēšanas oficiālajā izdevumā "Latvijas Vēstnesis". </w:t>
            </w:r>
          </w:p>
        </w:tc>
      </w:tr>
    </w:tbl>
    <w:p w14:paraId="7CDC2F54" w14:textId="75F73F77" w:rsidR="008E7807" w:rsidRPr="00D640E9" w:rsidRDefault="008E7807" w:rsidP="00E92B80"/>
    <w:sectPr w:rsidR="008E7807" w:rsidRPr="00D640E9" w:rsidSect="00B10B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85857"/>
    <w:multiLevelType w:val="hybridMultilevel"/>
    <w:tmpl w:val="6D0CCB2C"/>
    <w:lvl w:ilvl="0" w:tplc="53229994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42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07"/>
    <w:rsid w:val="00014809"/>
    <w:rsid w:val="00017FFD"/>
    <w:rsid w:val="000C0007"/>
    <w:rsid w:val="00174D67"/>
    <w:rsid w:val="00193A06"/>
    <w:rsid w:val="001A2D9C"/>
    <w:rsid w:val="00392B32"/>
    <w:rsid w:val="004E7BA2"/>
    <w:rsid w:val="00532E17"/>
    <w:rsid w:val="00676196"/>
    <w:rsid w:val="00754636"/>
    <w:rsid w:val="00863F14"/>
    <w:rsid w:val="00892563"/>
    <w:rsid w:val="008E7807"/>
    <w:rsid w:val="009538C3"/>
    <w:rsid w:val="00B00BE3"/>
    <w:rsid w:val="00B10BF4"/>
    <w:rsid w:val="00D640E9"/>
    <w:rsid w:val="00D82345"/>
    <w:rsid w:val="00D9231E"/>
    <w:rsid w:val="00E92B80"/>
    <w:rsid w:val="00E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2678"/>
  <w15:chartTrackingRefBased/>
  <w15:docId w15:val="{45D09CED-515B-45CD-BC1E-83254EDF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45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D82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F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10BF4"/>
    <w:pPr>
      <w:jc w:val="left"/>
    </w:pPr>
    <w:rPr>
      <w:rFonts w:eastAsia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10BF4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k@sprk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slavasnami.lv" TargetMode="External"/><Relationship Id="rId5" Type="http://schemas.openxmlformats.org/officeDocument/2006/relationships/hyperlink" Target="mailto:info@kraslavasnam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2024-08-06T13:20:00Z</cp:lastPrinted>
  <dcterms:created xsi:type="dcterms:W3CDTF">2024-08-06T06:08:00Z</dcterms:created>
  <dcterms:modified xsi:type="dcterms:W3CDTF">2024-08-06T13:39:00Z</dcterms:modified>
</cp:coreProperties>
</file>